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497"/>
          <w:sz w:val="26"/>
          <w:szCs w:val="26"/>
        </w:rPr>
      </w:pPr>
      <w:r>
        <w:rPr>
          <w:rFonts w:ascii="Calibri-Light" w:hAnsi="Calibri-Light" w:cs="Calibri-Light"/>
          <w:color w:val="2F5497"/>
          <w:sz w:val="26"/>
          <w:szCs w:val="26"/>
        </w:rPr>
        <w:t>Comportamenti dei candidati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 candidati dovranno: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1.presentarsi da soli e senza alcun tipo di bagaglio (salvo situazioni eccezionali, da documentare);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2.non presentarsi presso la sede concorsuale se affetti da uno o più dei seguenti sintomi: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a) temperatura superiore a 37,5°C e brividi;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b) tosse di recente comparsa;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c) difficoltà respiratoria;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d) perdita improvvisa dell’olfatto (anosmia) o diminuzione dell'olfatto (</w:t>
      </w:r>
      <w:proofErr w:type="spellStart"/>
      <w:r>
        <w:rPr>
          <w:rFonts w:ascii="Helvetica" w:hAnsi="Helvetica" w:cs="Helvetica"/>
          <w:color w:val="333333"/>
        </w:rPr>
        <w:t>iposmia</w:t>
      </w:r>
      <w:proofErr w:type="spellEnd"/>
      <w:r>
        <w:rPr>
          <w:rFonts w:ascii="Helvetica" w:hAnsi="Helvetica" w:cs="Helvetica"/>
          <w:color w:val="333333"/>
        </w:rPr>
        <w:t>), perdita del gusto (ageusia) o alterazione del gusto (</w:t>
      </w:r>
      <w:proofErr w:type="spellStart"/>
      <w:r>
        <w:rPr>
          <w:rFonts w:ascii="Helvetica" w:hAnsi="Helvetica" w:cs="Helvetica"/>
          <w:color w:val="333333"/>
        </w:rPr>
        <w:t>disgeusia</w:t>
      </w:r>
      <w:proofErr w:type="spellEnd"/>
      <w:r>
        <w:rPr>
          <w:rFonts w:ascii="Helvetica" w:hAnsi="Helvetica" w:cs="Helvetica"/>
          <w:color w:val="333333"/>
        </w:rPr>
        <w:t>);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e) mal di gola.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3) non presentarsi presso la sede concorsuale se sottoposto alla misura della quarantena o isolamento domiciliare fiduciario e/o al divieto di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allontanamento dalla propria dimora/abitazione come misura di prevenzione della diffusione del contagio da COVID - 19;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4) presentare all’atto dell’ingresso nell’area concorsuale di un referto relativo ad un test antigenico rapido o molecolare, effettuato mediante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tampone oro/rino-faringeo</w:t>
      </w:r>
      <w:r>
        <w:rPr>
          <w:rFonts w:ascii="Helvetica" w:hAnsi="Helvetica" w:cs="Helvetica"/>
          <w:color w:val="000000"/>
          <w:sz w:val="14"/>
          <w:szCs w:val="14"/>
        </w:rPr>
        <w:t xml:space="preserve">] </w:t>
      </w:r>
      <w:r>
        <w:rPr>
          <w:rFonts w:ascii="Helvetica" w:hAnsi="Helvetica" w:cs="Helvetica"/>
          <w:color w:val="333333"/>
        </w:rPr>
        <w:t>presso una struttura pubblica o privata accreditata/autorizzata in data non antecedente a 48 ore dalla data di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svolgimento delle prove;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5) indossare obbligatoriamente, dal momento dell’accesso all’area concorsuale sino all’uscita, la/e mascherina/ messa/e a disposizione dall’organizzazione. I candidati devono indossare obbligatoriamente ed esclusivamente le mascherine fornite dall’organizzazione, prevedendo in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caso di rifiuto l’impossibilità di partecipare alla prova. L’organizzazione fornisce indicazioni sul corretto utilizzo delle mascherine (copertura delle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vie aeree, naso e bocca), sulla loro eventuale sostituzione e successivo smaltimento. Non deve essere consentito in ogni caso nell’area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concorsuale l’uso di mascherine chirurgiche, facciali filtranti e mascherine di comunità in possesso del candidato.</w:t>
      </w:r>
    </w:p>
    <w:p w:rsidR="00FB3161" w:rsidRDefault="00FB3161" w:rsidP="00FB3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Gli obblighi di cui ai numeri 2 e 3 devono essere oggetto di un’apposita autodichiarazione da prodursi ai sensi degli artt. 46 e 47 del DPR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445/2000.</w:t>
      </w:r>
    </w:p>
    <w:p w:rsidR="003A5232" w:rsidRDefault="00FB3161" w:rsidP="00E00D95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color w:val="333333"/>
        </w:rPr>
        <w:t>Qualora una o più delle sopraindicate condizioni non dovesse essere soddisfatta, ovvero in caso di rifiuto a produrre l’autodichiarazione, sarà</w:t>
      </w:r>
      <w:r w:rsidR="00E00D95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inibito l’ingresso del candidato nell’area concorsuale.</w:t>
      </w:r>
    </w:p>
    <w:sectPr w:rsidR="003A5232" w:rsidSect="003A5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revisionView w:inkAnnotations="0"/>
  <w:defaultTabStop w:val="708"/>
  <w:hyphenationZone w:val="283"/>
  <w:characterSpacingControl w:val="doNotCompress"/>
  <w:compat/>
  <w:rsids>
    <w:rsidRoot w:val="00FB3161"/>
    <w:rsid w:val="002B4BE7"/>
    <w:rsid w:val="00300B5E"/>
    <w:rsid w:val="003A5232"/>
    <w:rsid w:val="00BB05FA"/>
    <w:rsid w:val="00D1759D"/>
    <w:rsid w:val="00D5536F"/>
    <w:rsid w:val="00D62806"/>
    <w:rsid w:val="00DC48BE"/>
    <w:rsid w:val="00E00D95"/>
    <w:rsid w:val="00F34924"/>
    <w:rsid w:val="00FB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36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5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553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5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53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D55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BASTARDS TeaM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2021-04-07T13:19:00Z</dcterms:created>
  <dcterms:modified xsi:type="dcterms:W3CDTF">2021-04-07T13:20:00Z</dcterms:modified>
</cp:coreProperties>
</file>